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A4" w:rsidRDefault="004A09A4" w:rsidP="004A09A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409">
        <w:rPr>
          <w:noProof/>
          <w:lang w:eastAsia="pl-PL"/>
        </w:rPr>
        <w:pict>
          <v:group id="Grupa 5" o:spid="_x0000_s1026" style="position:absolute;left:0;text-align:left;margin-left:0;margin-top:-51pt;width:478.6pt;height:81.95pt;z-index:251658240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OBkGhuAAAAAIAQAADwAAAGRycy9kb3ducmV2LnhtbEyPQUvDQBCF74L/&#10;YRnBW7vZSKuNmZRS1FMRbAXxts1Ok9Dsbshuk/TfO5709oY3vPe9fD3ZVgzUh8Y7BDVPQJArvWlc&#10;hfB5eJ09gQhRO6Nb7wjhSgHWxe1NrjPjR/dBwz5WgkNcyDRCHWOXSRnKmqwOc9+RY+/ke6sjn30l&#10;Ta9HDretTJNkKa1uHDfUuqNtTeV5f7EIb6MeNw/qZdidT9vr92Hx/rVThHh/N22eQUSa4t8z/OIz&#10;OhTMdPQXZ4JoEXhIRJipJGXF/mrxmII4IizVCmSRy/8Dih8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A4&#10;GQaG4AAAAAgBAAAPAAAAAAAAAAAAAAAAAHStAABkcnMvZG93bnJldi54bWxQSwUGAAAAAAgACAAD&#10;AgAAga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6" o:spid="_x0000_s1027" type="#_x0000_t75" style="position:absolute;left:22727;top:3488;width:17601;height:36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<v:imagedata r:id="rId5" o:title=""/>
              <v:path arrowok="t"/>
            </v:shape>
            <v:shape id="Picture 4" o:spid="_x0000_s1028" type="#_x0000_t75" style="position:absolute;left:45032;top:2431;width:15751;height:5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<v:imagedata r:id="rId6" o:title=""/>
              <v:path arrowok="t"/>
            </v:shape>
            <v:shape id="Picture 5" o:spid="_x0000_s1029" type="#_x0000_t75" style="position:absolute;width:21406;height:104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<v:imagedata r:id="rId7" o:title=""/>
              <v:path arrowok="t"/>
            </v:shape>
            <w10:wrap anchorx="margin"/>
          </v:group>
        </w:pict>
      </w:r>
    </w:p>
    <w:p w:rsidR="004A09A4" w:rsidRDefault="004A09A4" w:rsidP="004A09A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4A09A4" w:rsidRDefault="004A09A4" w:rsidP="004A09A4">
      <w:pPr>
        <w:pStyle w:val="Zwykytekst1"/>
        <w:tabs>
          <w:tab w:val="right" w:leader="dot" w:pos="9072"/>
        </w:tabs>
        <w:spacing w:line="100" w:lineRule="atLeast"/>
        <w:jc w:val="center"/>
        <w:rPr>
          <w:rFonts w:eastAsia="Times New Roman" w:cs="StarSymbol"/>
          <w:b/>
          <w:kern w:val="1"/>
          <w:sz w:val="22"/>
          <w:szCs w:val="22"/>
        </w:rPr>
      </w:pPr>
      <w:r>
        <w:rPr>
          <w:rFonts w:eastAsia="Times New Roman" w:cs="StarSymbol"/>
          <w:b/>
          <w:kern w:val="1"/>
          <w:sz w:val="22"/>
          <w:szCs w:val="22"/>
        </w:rPr>
        <w:t>UMOWA Nr …..</w:t>
      </w:r>
    </w:p>
    <w:p w:rsidR="004A09A4" w:rsidRDefault="004A09A4" w:rsidP="004A09A4">
      <w:pPr>
        <w:pStyle w:val="Zwykytekst1"/>
        <w:tabs>
          <w:tab w:val="right" w:leader="dot" w:pos="9072"/>
        </w:tabs>
        <w:spacing w:line="100" w:lineRule="atLeast"/>
        <w:ind w:firstLine="3195"/>
        <w:rPr>
          <w:rFonts w:eastAsia="Times New Roman" w:cs="StarSymbol"/>
          <w:kern w:val="1"/>
          <w:sz w:val="22"/>
          <w:szCs w:val="22"/>
        </w:rPr>
      </w:pPr>
    </w:p>
    <w:p w:rsidR="004A09A4" w:rsidRDefault="004A09A4" w:rsidP="004A09A4">
      <w:pPr>
        <w:tabs>
          <w:tab w:val="right" w:leader="dot" w:pos="9639"/>
        </w:tabs>
        <w:spacing w:line="100" w:lineRule="atLeast"/>
        <w:jc w:val="center"/>
        <w:rPr>
          <w:rFonts w:eastAsia="Times New Roman" w:cs="StarSymbol"/>
          <w:kern w:val="1"/>
        </w:rPr>
      </w:pPr>
      <w:r>
        <w:rPr>
          <w:rFonts w:eastAsia="Times New Roman" w:cs="StarSymbol"/>
          <w:kern w:val="1"/>
        </w:rPr>
        <w:t>zawarta dnia ……….. w Tarnobrzegu pomiędzy:</w:t>
      </w:r>
    </w:p>
    <w:p w:rsidR="004A09A4" w:rsidRDefault="004A09A4" w:rsidP="004A09A4">
      <w:pPr>
        <w:jc w:val="center"/>
      </w:pPr>
      <w:r>
        <w:t>Gminą Tarnobrzeg    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   39-400 Tarnobrzeg</w:t>
      </w:r>
    </w:p>
    <w:p w:rsidR="004A09A4" w:rsidRDefault="004A09A4" w:rsidP="004A09A4">
      <w:pPr>
        <w:jc w:val="center"/>
      </w:pPr>
      <w:r>
        <w:t>NIP 867 207 91 99  REGON   8304 09 092</w:t>
      </w:r>
    </w:p>
    <w:p w:rsidR="004A09A4" w:rsidRPr="00C14DAC" w:rsidRDefault="004A09A4" w:rsidP="004A09A4">
      <w:r>
        <w:t xml:space="preserve">zwaną w dalszej części „ Zamawiającym”, reprezentowanym, na podstawie Pełnomocnictwa Prezydenta Miasta Tarnobrzega Nr OR.II.077.132.2012 z dnia 24.07.2012 r. przez Marka </w:t>
      </w:r>
      <w:proofErr w:type="spellStart"/>
      <w:r>
        <w:t>Szczytyńskiego</w:t>
      </w:r>
      <w:proofErr w:type="spellEnd"/>
      <w:r>
        <w:t xml:space="preserve"> Dyrektora  Zespołu Szkół </w:t>
      </w:r>
      <w:proofErr w:type="spellStart"/>
      <w:r>
        <w:t>Ponadgimnazjalnych</w:t>
      </w:r>
      <w:proofErr w:type="spellEnd"/>
      <w:r>
        <w:t xml:space="preserve"> nr 2 im. Bartosza Głowackiego                    w Tarnobrzegu                                                                                                                                                            Adres szkoły:  39-400 Tarnobrzeg, ul. Kopernika 18         NIP 867 18 22 377   REGON 180642990                        a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………………………………………………………………………………………………………………………………………………………. reprezentowaną przez ………………………………………………………………………………………………………… </w:t>
      </w:r>
    </w:p>
    <w:p w:rsidR="004A09A4" w:rsidRDefault="004A09A4" w:rsidP="004A09A4">
      <w:pPr>
        <w:pStyle w:val="Tekstpodstawowy"/>
        <w:jc w:val="both"/>
        <w:rPr>
          <w:b/>
          <w:sz w:val="22"/>
        </w:rPr>
      </w:pPr>
      <w:r>
        <w:rPr>
          <w:sz w:val="22"/>
        </w:rPr>
        <w:t>zwanych dalej wspólnie „</w:t>
      </w:r>
      <w:r>
        <w:rPr>
          <w:b/>
          <w:sz w:val="22"/>
        </w:rPr>
        <w:t>Stronami”</w:t>
      </w:r>
      <w:r>
        <w:rPr>
          <w:sz w:val="22"/>
        </w:rPr>
        <w:t xml:space="preserve"> lub z osobna „</w:t>
      </w:r>
      <w:r>
        <w:rPr>
          <w:b/>
          <w:sz w:val="22"/>
        </w:rPr>
        <w:t xml:space="preserve">Stroną”, </w:t>
      </w:r>
    </w:p>
    <w:p w:rsidR="004A09A4" w:rsidRDefault="004A09A4" w:rsidP="004A09A4">
      <w:pPr>
        <w:pStyle w:val="Tekstpodstawowy"/>
        <w:jc w:val="both"/>
        <w:rPr>
          <w:rFonts w:eastAsia="Times New Roman" w:cs="StarSymbol"/>
          <w:kern w:val="1"/>
          <w:sz w:val="22"/>
          <w:szCs w:val="22"/>
        </w:rPr>
      </w:pPr>
    </w:p>
    <w:p w:rsidR="004A09A4" w:rsidRDefault="004A09A4" w:rsidP="004A09A4">
      <w:pPr>
        <w:jc w:val="center"/>
        <w:rPr>
          <w:rFonts w:eastAsia="Times New Roman" w:cs="Times New Roman"/>
          <w:b/>
        </w:rPr>
      </w:pPr>
      <w:r w:rsidRPr="00B70051">
        <w:rPr>
          <w:rFonts w:eastAsia="Times New Roman" w:cs="Times New Roman"/>
          <w:b/>
        </w:rPr>
        <w:t xml:space="preserve">     </w:t>
      </w:r>
      <w:r>
        <w:rPr>
          <w:rFonts w:eastAsia="Times New Roman" w:cs="Times New Roman"/>
          <w:b/>
        </w:rPr>
        <w:t>§ 1</w:t>
      </w:r>
    </w:p>
    <w:p w:rsidR="004A09A4" w:rsidRDefault="004A09A4" w:rsidP="004A09A4">
      <w:pPr>
        <w:tabs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Podstawa umowy</w:t>
      </w:r>
    </w:p>
    <w:p w:rsidR="004A09A4" w:rsidRDefault="004A09A4" w:rsidP="004A09A4">
      <w:pPr>
        <w:tabs>
          <w:tab w:val="right" w:leader="dot" w:pos="9639"/>
        </w:tabs>
        <w:spacing w:line="2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zostaje zawarta w trybie zapytania ofertowego w postępowaniu poniżej 30 000 euro zgodnie z Regulaminem Zamówień Publicznych Urzędu Miasta Tarnobrzeg - Zarządzenie 393/2011 z dnia 30.12.2011r.</w:t>
      </w:r>
    </w:p>
    <w:p w:rsidR="004A09A4" w:rsidRDefault="004A09A4" w:rsidP="004A09A4">
      <w:pPr>
        <w:tabs>
          <w:tab w:val="left" w:pos="36"/>
          <w:tab w:val="right" w:leader="dot" w:pos="9108"/>
        </w:tabs>
        <w:spacing w:line="200" w:lineRule="atLeast"/>
        <w:ind w:left="1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2</w:t>
      </w:r>
    </w:p>
    <w:p w:rsidR="004A09A4" w:rsidRDefault="004A09A4" w:rsidP="004A09A4">
      <w:pPr>
        <w:tabs>
          <w:tab w:val="left" w:pos="36"/>
          <w:tab w:val="right" w:leader="dot" w:pos="9108"/>
        </w:tabs>
        <w:spacing w:line="200" w:lineRule="atLeast"/>
        <w:ind w:left="1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Przedmiot umowy</w:t>
      </w:r>
    </w:p>
    <w:p w:rsidR="004A09A4" w:rsidRDefault="004A09A4" w:rsidP="004A09A4">
      <w:pPr>
        <w:tabs>
          <w:tab w:val="left" w:pos="756"/>
          <w:tab w:val="right" w:leader="dot" w:pos="9108"/>
        </w:tabs>
        <w:spacing w:line="200" w:lineRule="atLeast"/>
        <w:ind w:left="12"/>
        <w:rPr>
          <w:i/>
          <w:iCs/>
        </w:rPr>
      </w:pPr>
      <w:r>
        <w:rPr>
          <w:rFonts w:eastAsia="Times New Roman" w:cs="Times New Roman"/>
        </w:rPr>
        <w:t xml:space="preserve">Przedmiotem umowy  </w:t>
      </w:r>
      <w:r>
        <w:t xml:space="preserve">jest </w:t>
      </w:r>
      <w:r>
        <w:rPr>
          <w:i/>
          <w:iCs/>
        </w:rPr>
        <w:t>doposażenie pracowni spedycji wg specyfikacji w „Zaproszeniu do składania ofert”:</w:t>
      </w:r>
    </w:p>
    <w:tbl>
      <w:tblPr>
        <w:tblStyle w:val="Tabela-Siatka"/>
        <w:tblW w:w="0" w:type="auto"/>
        <w:tblLook w:val="04A0"/>
      </w:tblPr>
      <w:tblGrid>
        <w:gridCol w:w="591"/>
        <w:gridCol w:w="1658"/>
        <w:gridCol w:w="4663"/>
        <w:gridCol w:w="1418"/>
        <w:gridCol w:w="850"/>
      </w:tblGrid>
      <w:tr w:rsidR="004A09A4" w:rsidTr="004A09A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Default="004A09A4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Default="004A09A4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Default="004A09A4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przedmiotu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Default="004A09A4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Default="004A09A4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4A09A4" w:rsidTr="004A09A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Default="004A09A4" w:rsidP="00E576AC">
            <w:pPr>
              <w:tabs>
                <w:tab w:val="left" w:pos="3975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Pr="008E47D9" w:rsidRDefault="004A09A4" w:rsidP="00E576AC">
            <w:r w:rsidRPr="008E47D9">
              <w:rPr>
                <w:rFonts w:eastAsia="Times New Roman" w:cs="Tahoma"/>
                <w:shd w:val="clear" w:color="auto" w:fill="FFFFFF"/>
                <w:lang w:eastAsia="pl-PL"/>
              </w:rPr>
              <w:t xml:space="preserve">Wykresówki VDO </w:t>
            </w:r>
            <w:proofErr w:type="spellStart"/>
            <w:r w:rsidRPr="008E47D9">
              <w:rPr>
                <w:rFonts w:eastAsia="Times New Roman" w:cs="Tahoma"/>
                <w:shd w:val="clear" w:color="auto" w:fill="FFFFFF"/>
                <w:lang w:eastAsia="pl-PL"/>
              </w:rPr>
              <w:t>Kienzle</w:t>
            </w:r>
            <w:proofErr w:type="spellEnd"/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Pr="004B0336" w:rsidRDefault="004A09A4" w:rsidP="00E57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Wykresówki (tarczki</w:t>
            </w:r>
            <w:r w:rsidRPr="004B0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VDO </w:t>
            </w:r>
            <w:proofErr w:type="spellStart"/>
            <w:r w:rsidRPr="004B0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Kienzle</w:t>
            </w:r>
            <w:proofErr w:type="spellEnd"/>
            <w:r w:rsidRPr="004B0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przeznaczone do tachografów analogowych o prędkości maksymalnej do 125 km/h. Tarcze </w:t>
            </w:r>
            <w:proofErr w:type="spellStart"/>
            <w:r w:rsidRPr="004B0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tacho</w:t>
            </w:r>
            <w:proofErr w:type="spellEnd"/>
            <w:r w:rsidRPr="004B0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125-24EC4K.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Opakowanie 100 sztuk.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Default="004A09A4" w:rsidP="00E576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Default="004A09A4" w:rsidP="00E576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9A4" w:rsidTr="004A09A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Default="004A09A4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Pr="008E47D9" w:rsidRDefault="004A09A4" w:rsidP="00E576AC">
            <w:r w:rsidRPr="008E47D9">
              <w:rPr>
                <w:rFonts w:eastAsia="Times New Roman" w:cs="Arial"/>
                <w:lang w:eastAsia="pl-PL"/>
              </w:rPr>
              <w:t>Drukarka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Pr="008E47D9" w:rsidRDefault="004A09A4" w:rsidP="00E576AC">
            <w:r>
              <w:rPr>
                <w:rFonts w:ascii="Calibri" w:eastAsia="Calibri" w:hAnsi="Calibri" w:cs="Times New Roman"/>
              </w:rPr>
              <w:t>Monochromatyczna. Rozdzielczość druku – czerń (</w:t>
            </w:r>
            <w:proofErr w:type="spellStart"/>
            <w:r>
              <w:rPr>
                <w:rFonts w:ascii="Calibri" w:eastAsia="Calibri" w:hAnsi="Calibri" w:cs="Times New Roman"/>
              </w:rPr>
              <w:t>dpi</w:t>
            </w:r>
            <w:proofErr w:type="spellEnd"/>
            <w:r>
              <w:rPr>
                <w:rFonts w:ascii="Calibri" w:eastAsia="Calibri" w:hAnsi="Calibri" w:cs="Times New Roman"/>
              </w:rPr>
              <w:t>)1200x1200. Prędkość druku – czerń (</w:t>
            </w:r>
            <w:proofErr w:type="spellStart"/>
            <w:r>
              <w:rPr>
                <w:rFonts w:ascii="Calibri" w:eastAsia="Calibri" w:hAnsi="Calibri" w:cs="Times New Roman"/>
              </w:rPr>
              <w:t>str</w:t>
            </w:r>
            <w:proofErr w:type="spellEnd"/>
            <w:r>
              <w:rPr>
                <w:rFonts w:ascii="Calibri" w:eastAsia="Calibri" w:hAnsi="Calibri" w:cs="Times New Roman"/>
              </w:rPr>
              <w:t>/min) 18. Interfejs USB 2.0. Przetwarzanie druku w komputerze. Obciążenie 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Default="004A09A4" w:rsidP="00E576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Default="004A09A4" w:rsidP="00E576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09A4" w:rsidTr="004A09A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Default="004A09A4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Pr="008E47D9" w:rsidRDefault="004A09A4" w:rsidP="00E576AC">
            <w:r w:rsidRPr="008E47D9">
              <w:rPr>
                <w:rFonts w:cs="Tahoma"/>
                <w:color w:val="222222"/>
                <w:shd w:val="clear" w:color="auto" w:fill="FFFFFF"/>
              </w:rPr>
              <w:t>Program „Europejski Kierowca Zawodowy”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Pr="008E47D9" w:rsidRDefault="004A09A4" w:rsidP="00E576AC">
            <w:r>
              <w:t>Program „Europejski Kierowca Zawodowy” jest zgodny z wymaganiami określonymi w rozporządzeniu</w:t>
            </w:r>
            <w:r>
              <w:br/>
              <w:t>Ministra Infrastruktury z dnia 1 kwietnia 2010 r. w sprawie szkolenia kierowców wykonujących przewóz</w:t>
            </w:r>
            <w:r>
              <w:br/>
              <w:t>drogowy (Dz. U. nr 53, poz. 314).</w:t>
            </w:r>
            <w:r>
              <w:br/>
              <w:t>Program umożliwia szkolenie w zakresie:</w:t>
            </w:r>
            <w:r>
              <w:br/>
              <w:t>a) kwalifikacji wstępnej kat D i C</w:t>
            </w:r>
            <w:r>
              <w:br/>
              <w:t>b) kwalifikacji wstępnej przyspieszonej kat D i C</w:t>
            </w:r>
            <w:r>
              <w:br/>
              <w:t>c) kwalifikacji uzupełniającej kat D i C</w:t>
            </w:r>
            <w:r>
              <w:br/>
              <w:t>d) kwalifikacji uzupełniającej przyspieszonej kat D i C</w:t>
            </w:r>
            <w:r>
              <w:br/>
              <w:t>e) szkolenia okresowego kat D i C</w:t>
            </w:r>
            <w:r>
              <w:br/>
              <w:t xml:space="preserve">Materiały szkoleniowe (pakiety) zawierają skrypt, pytania kontrolne oraz </w:t>
            </w:r>
            <w:proofErr w:type="spellStart"/>
            <w:r>
              <w:t>Indywidualy</w:t>
            </w:r>
            <w:proofErr w:type="spellEnd"/>
            <w:r>
              <w:t xml:space="preserve"> Identyfikator</w:t>
            </w:r>
            <w:r>
              <w:br/>
              <w:t xml:space="preserve">(„I-I”), który jest kodem dostępu do programu </w:t>
            </w:r>
            <w:proofErr w:type="spellStart"/>
            <w:r>
              <w:t>e-learningowego</w:t>
            </w:r>
            <w:proofErr w:type="spellEnd"/>
            <w:r>
              <w:t xml:space="preserve"> dla danej osoby.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Default="004A09A4" w:rsidP="00E576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Default="004A09A4" w:rsidP="00E576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09A4" w:rsidTr="004A09A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Default="004A09A4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Pr="008E47D9" w:rsidRDefault="004A09A4" w:rsidP="00E576AC">
            <w:r w:rsidRPr="008E47D9">
              <w:rPr>
                <w:rFonts w:cs="Tahoma"/>
                <w:color w:val="222222"/>
              </w:rPr>
              <w:t>Programy do nauki przepisów ruchu drogowego AUTO Wykłady i AUTO Ćwiczenia 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Pr="008E47D9" w:rsidRDefault="004A09A4" w:rsidP="00E576AC">
            <w:r>
              <w:rPr>
                <w:rStyle w:val="Pogrubienie"/>
              </w:rPr>
              <w:t>Program zawiera następujące rozdziały:</w:t>
            </w:r>
            <w:r>
              <w:br/>
              <w:t>1. Podstawowe definicje</w:t>
            </w:r>
            <w:r>
              <w:br/>
              <w:t>2. Znaki ostrzegawcze</w:t>
            </w:r>
            <w:r>
              <w:br/>
              <w:t>3. Znaki zakazu</w:t>
            </w:r>
            <w:r>
              <w:br/>
              <w:t>4. Inne znaki</w:t>
            </w:r>
            <w:r>
              <w:br/>
              <w:t>5. Pierwszeństwo na skrzyżowaniach</w:t>
            </w:r>
            <w:r>
              <w:br/>
              <w:t>6. Sygnały świetlne</w:t>
            </w:r>
            <w:r>
              <w:br/>
              <w:t>7. Manewry na drodze</w:t>
            </w:r>
            <w:r>
              <w:br/>
              <w:t>8. Wyprzedzanie</w:t>
            </w:r>
            <w:r>
              <w:br/>
              <w:t>9. Zatrzymanie i postój</w:t>
            </w:r>
            <w:r>
              <w:br/>
              <w:t>10. Zachowanie wobec pieszych i na przejazdach</w:t>
            </w:r>
            <w:r>
              <w:br/>
              <w:t>11. Zmiana pasa ruchu i zmiana kierunku</w:t>
            </w:r>
            <w:r>
              <w:br/>
              <w:t>12. Używanie świateł w pojazdach</w:t>
            </w:r>
            <w:r>
              <w:br/>
              <w:t>13. Sytuacje nietypowe</w:t>
            </w:r>
            <w:r>
              <w:br/>
              <w:t>14. Prędkość i hamowanie</w:t>
            </w:r>
            <w:r>
              <w:br/>
              <w:t>15. Technika kierowania pojazdem</w:t>
            </w:r>
            <w:r>
              <w:br/>
              <w:t>16. Obsługa pojazdu</w:t>
            </w:r>
            <w:r>
              <w:br/>
              <w:t>17. Budowa pojazdu</w:t>
            </w:r>
            <w:r>
              <w:br/>
              <w:t>18. Używanie pojazdu</w:t>
            </w:r>
            <w:r>
              <w:br/>
              <w:t>19. Kierowca pojazdu</w:t>
            </w:r>
            <w:r>
              <w:br/>
              <w:t>20. Pierwsza pomoc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Default="004A09A4" w:rsidP="00E576AC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4" w:rsidRDefault="004A09A4" w:rsidP="00E576AC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A09A4" w:rsidRDefault="004A09A4" w:rsidP="004A09A4">
      <w:pPr>
        <w:tabs>
          <w:tab w:val="left" w:pos="756"/>
          <w:tab w:val="right" w:leader="dot" w:pos="9108"/>
        </w:tabs>
        <w:spacing w:line="200" w:lineRule="atLeast"/>
        <w:rPr>
          <w:i/>
          <w:iCs/>
        </w:rPr>
      </w:pPr>
    </w:p>
    <w:p w:rsidR="004A09A4" w:rsidRDefault="004A09A4" w:rsidP="004A09A4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3</w:t>
      </w:r>
    </w:p>
    <w:p w:rsidR="004A09A4" w:rsidRDefault="004A09A4" w:rsidP="004A09A4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Cena i warunki płatności</w:t>
      </w:r>
    </w:p>
    <w:p w:rsidR="004A09A4" w:rsidRPr="00D769D3" w:rsidRDefault="004A09A4" w:rsidP="004A09A4">
      <w:pPr>
        <w:widowControl w:val="0"/>
        <w:numPr>
          <w:ilvl w:val="0"/>
          <w:numId w:val="1"/>
        </w:numPr>
        <w:tabs>
          <w:tab w:val="left" w:pos="720"/>
          <w:tab w:val="left" w:pos="2160"/>
          <w:tab w:val="right" w:leader="dot" w:pos="10512"/>
        </w:tabs>
        <w:suppressAutoHyphens/>
        <w:spacing w:after="0" w:line="200" w:lineRule="atLeast"/>
        <w:jc w:val="both"/>
        <w:rPr>
          <w:rFonts w:eastAsia="Times New Roman" w:cs="StarSymbol"/>
        </w:rPr>
      </w:pPr>
      <w:r>
        <w:rPr>
          <w:rFonts w:eastAsia="Times New Roman" w:cs="StarSymbol"/>
        </w:rPr>
        <w:t>Wartość umowy wynosi ………………… netto (słownie: …………………………</w:t>
      </w:r>
      <w:r w:rsidRPr="00D769D3">
        <w:rPr>
          <w:rFonts w:eastAsia="Times New Roman" w:cs="StarSymbol"/>
        </w:rPr>
        <w:t xml:space="preserve">), </w:t>
      </w:r>
      <w:r>
        <w:rPr>
          <w:rFonts w:eastAsia="Times New Roman" w:cs="StarSymbol"/>
        </w:rPr>
        <w:t>……………………….</w:t>
      </w:r>
      <w:r w:rsidRPr="00D769D3">
        <w:rPr>
          <w:rFonts w:eastAsia="Times New Roman" w:cs="StarSymbol"/>
        </w:rPr>
        <w:t xml:space="preserve"> zł brutto</w:t>
      </w:r>
      <w:r w:rsidRPr="00D769D3">
        <w:rPr>
          <w:rFonts w:eastAsia="Times New Roman" w:cs="StarSymbol"/>
          <w:b/>
          <w:bCs/>
        </w:rPr>
        <w:t xml:space="preserve"> </w:t>
      </w:r>
      <w:r w:rsidRPr="00D769D3">
        <w:rPr>
          <w:rFonts w:eastAsia="Times New Roman" w:cs="StarSymbol"/>
        </w:rPr>
        <w:t xml:space="preserve">(słownie: </w:t>
      </w:r>
      <w:r>
        <w:rPr>
          <w:rFonts w:eastAsia="Times New Roman" w:cs="StarSymbol"/>
        </w:rPr>
        <w:t>……………………………………………………………)</w:t>
      </w:r>
    </w:p>
    <w:p w:rsidR="004A09A4" w:rsidRDefault="004A09A4" w:rsidP="004A09A4">
      <w:pPr>
        <w:pStyle w:val="WW-Tre3f3ftekstu"/>
        <w:numPr>
          <w:ilvl w:val="0"/>
          <w:numId w:val="1"/>
        </w:numPr>
        <w:tabs>
          <w:tab w:val="left" w:pos="720"/>
          <w:tab w:val="left" w:pos="2160"/>
        </w:tabs>
        <w:spacing w:line="200" w:lineRule="atLeast"/>
        <w:rPr>
          <w:rFonts w:ascii="Times New Roman" w:eastAsia="Times New Roman" w:hAnsi="Times New Roman" w:cs="Times New Roman"/>
          <w:kern w:val="1"/>
          <w:sz w:val="22"/>
          <w:szCs w:val="22"/>
        </w:rPr>
      </w:pPr>
      <w:r>
        <w:rPr>
          <w:rFonts w:ascii="Times New Roman" w:eastAsia="Times New Roman" w:hAnsi="Times New Roman" w:cs="Times New Roman"/>
          <w:kern w:val="1"/>
          <w:sz w:val="22"/>
          <w:szCs w:val="22"/>
        </w:rPr>
        <w:t xml:space="preserve">Wartość, o której mowa w ust. 1, zaspokaja wszelkie roszczenia Wykonawcy wobec Zamawiającego z tytułu wykonania umowy i obejmuje wszelkie koszty związane z jej realizacją. </w:t>
      </w:r>
    </w:p>
    <w:p w:rsidR="004A09A4" w:rsidRDefault="004A09A4" w:rsidP="004A09A4">
      <w:pPr>
        <w:pStyle w:val="Tekstpodstawowy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StarSymbol"/>
          <w:spacing w:val="2"/>
          <w:sz w:val="22"/>
          <w:szCs w:val="22"/>
        </w:rPr>
      </w:pPr>
      <w:r>
        <w:rPr>
          <w:rFonts w:eastAsia="Times New Roman" w:cs="StarSymbol"/>
          <w:spacing w:val="2"/>
          <w:sz w:val="22"/>
          <w:szCs w:val="22"/>
        </w:rPr>
        <w:t xml:space="preserve">Strony ustalają, że zapłata za dostarczony towar nastąpi na podstawie faktury wystawionej po dostarczeniu materiałów. </w:t>
      </w:r>
    </w:p>
    <w:p w:rsidR="004A09A4" w:rsidRDefault="004A09A4" w:rsidP="004A09A4">
      <w:pPr>
        <w:pStyle w:val="Tekstpodstawowy"/>
        <w:numPr>
          <w:ilvl w:val="0"/>
          <w:numId w:val="1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Zapłata nastąpi w formie przelewu na rachunek bankowy Wykonawcy, wskazany na fakturze</w:t>
      </w:r>
      <w:r>
        <w:rPr>
          <w:color w:val="000000"/>
          <w:sz w:val="22"/>
        </w:rPr>
        <w:br/>
        <w:t xml:space="preserve">w terminie 14 dni od daty wystawienia faktury. </w:t>
      </w:r>
    </w:p>
    <w:p w:rsidR="004A09A4" w:rsidRDefault="004A09A4" w:rsidP="004A09A4">
      <w:pPr>
        <w:pStyle w:val="Tekstpodstawowy"/>
        <w:numPr>
          <w:ilvl w:val="0"/>
          <w:numId w:val="1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Wykonawca nie może przenieść swojej wierzytelności na osoby trzecie.</w:t>
      </w:r>
    </w:p>
    <w:p w:rsidR="004A09A4" w:rsidRPr="00A12102" w:rsidRDefault="004A09A4" w:rsidP="004A09A4">
      <w:pPr>
        <w:pStyle w:val="Tekstpodstawowy"/>
        <w:numPr>
          <w:ilvl w:val="0"/>
          <w:numId w:val="1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Wykonawca zapewni stałość cen przez okres obowiązywania umowy.</w:t>
      </w:r>
    </w:p>
    <w:p w:rsidR="004A09A4" w:rsidRDefault="004A09A4" w:rsidP="004A09A4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4</w:t>
      </w:r>
    </w:p>
    <w:p w:rsidR="004A09A4" w:rsidRDefault="004A09A4" w:rsidP="004A09A4">
      <w:pPr>
        <w:tabs>
          <w:tab w:val="left" w:pos="1440"/>
        </w:tabs>
        <w:spacing w:line="200" w:lineRule="atLeast"/>
        <w:ind w:left="36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Termin i warunki realizacji</w:t>
      </w:r>
    </w:p>
    <w:p w:rsidR="004A09A4" w:rsidRDefault="004A09A4" w:rsidP="004A09A4">
      <w:pPr>
        <w:pStyle w:val="Tekstpodstawowy"/>
        <w:numPr>
          <w:ilvl w:val="0"/>
          <w:numId w:val="2"/>
        </w:numPr>
        <w:tabs>
          <w:tab w:val="left" w:pos="720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Towar będzie dostarczany w terminie 7 dni od daty złożenia zamówienia.</w:t>
      </w:r>
    </w:p>
    <w:p w:rsidR="004A09A4" w:rsidRDefault="004A09A4" w:rsidP="004A09A4">
      <w:pPr>
        <w:pStyle w:val="Tekstpodstawowy"/>
        <w:numPr>
          <w:ilvl w:val="0"/>
          <w:numId w:val="2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Wykonawca dostarczy towar własnym transportem </w:t>
      </w:r>
    </w:p>
    <w:p w:rsidR="004A09A4" w:rsidRDefault="004A09A4" w:rsidP="004A09A4">
      <w:pPr>
        <w:pStyle w:val="Tekstpodstawowy"/>
        <w:numPr>
          <w:ilvl w:val="0"/>
          <w:numId w:val="2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>Towar zostanie dostarczony na koszt i ryzyko Wykonawcy do siedziby Zamawiającego.</w:t>
      </w:r>
    </w:p>
    <w:p w:rsidR="004A09A4" w:rsidRDefault="004A09A4" w:rsidP="004A09A4">
      <w:pPr>
        <w:pStyle w:val="Tekstpodstawowy"/>
        <w:numPr>
          <w:ilvl w:val="0"/>
          <w:numId w:val="2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W przypadku dostarczenia towaru niezgodnego z zamówieniem, Wykonawca zobowiązany jest niezwłocznie na wezwanie Zamawiającego do wymiany towaru na właściwy. </w:t>
      </w:r>
    </w:p>
    <w:p w:rsidR="004A09A4" w:rsidRPr="00A12102" w:rsidRDefault="004A09A4" w:rsidP="004A09A4">
      <w:pPr>
        <w:pStyle w:val="Tekstpodstawowy"/>
        <w:numPr>
          <w:ilvl w:val="0"/>
          <w:numId w:val="2"/>
        </w:numPr>
        <w:tabs>
          <w:tab w:val="left" w:pos="720"/>
        </w:tabs>
        <w:spacing w:after="280"/>
        <w:rPr>
          <w:color w:val="000000"/>
          <w:sz w:val="22"/>
        </w:rPr>
      </w:pPr>
      <w:r>
        <w:rPr>
          <w:color w:val="000000"/>
          <w:sz w:val="22"/>
        </w:rPr>
        <w:t>Przedmiot umowy będzie realizowany do wartości określonej w § 3 ust. 1.</w:t>
      </w:r>
    </w:p>
    <w:p w:rsidR="004A09A4" w:rsidRDefault="004A09A4" w:rsidP="004A09A4">
      <w:pPr>
        <w:ind w:left="3528" w:firstLine="72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§ 5</w:t>
      </w:r>
    </w:p>
    <w:p w:rsidR="004A09A4" w:rsidRDefault="004A09A4" w:rsidP="004A09A4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Odpowiedzialność Stron umowy</w:t>
      </w:r>
    </w:p>
    <w:p w:rsidR="004A09A4" w:rsidRDefault="004A09A4" w:rsidP="004A09A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Wykonawcę zapłaci on Zamawiającemu karę umowną w wysokości 5  % łącznej ceny przedmiotu umowy netto, określonej w § 3 ust. 1.</w:t>
      </w:r>
    </w:p>
    <w:p w:rsidR="004A09A4" w:rsidRDefault="004A09A4" w:rsidP="004A09A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Zamawiającego z winy Wykonawcy, Wykonawca zapłaci Zamawiającemu karę umowną w wysokości 5 % łącznej ceny przedmiotu umowy netto, określonej w § 3 ust. 1.</w:t>
      </w:r>
    </w:p>
    <w:p w:rsidR="004A09A4" w:rsidRDefault="004A09A4" w:rsidP="004A09A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Wykonawcę z przyczyn leżących po stronie Zamawiającego, Zamawiający zapłaci Wykonawcy karę umowną w wysokości 5 % łącznej ceny przedmiotu umowy netto, określonej w § 3 ust. 1.</w:t>
      </w:r>
    </w:p>
    <w:p w:rsidR="004A09A4" w:rsidRDefault="004A09A4" w:rsidP="004A09A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Zamawiającemu przysługuje prawo do dochodzenia odszkodowania przewyższającego wysokość kary umownej.</w:t>
      </w:r>
    </w:p>
    <w:p w:rsidR="004A09A4" w:rsidRDefault="004A09A4" w:rsidP="004A09A4">
      <w:pPr>
        <w:tabs>
          <w:tab w:val="left" w:pos="1080"/>
          <w:tab w:val="left" w:pos="1170"/>
        </w:tabs>
        <w:spacing w:before="20" w:after="2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                      </w:t>
      </w: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4A09A4" w:rsidRDefault="004A09A4" w:rsidP="004A09A4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b/>
        </w:rPr>
        <w:t>§ 6</w:t>
      </w:r>
    </w:p>
    <w:p w:rsidR="004A09A4" w:rsidRDefault="004A09A4" w:rsidP="004A09A4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                                    </w:t>
      </w:r>
      <w:r>
        <w:rPr>
          <w:rFonts w:eastAsia="Times New Roman" w:cs="Times New Roman"/>
          <w:b/>
          <w:bCs/>
        </w:rPr>
        <w:t xml:space="preserve">                      Postanowienia końcowe</w:t>
      </w:r>
    </w:p>
    <w:p w:rsidR="004A09A4" w:rsidRDefault="004A09A4" w:rsidP="004A09A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zostaje zawarta na okres od ……………………. do …………………………………</w:t>
      </w:r>
    </w:p>
    <w:p w:rsidR="004A09A4" w:rsidRDefault="004A09A4" w:rsidP="004A09A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Zakazuje się zmian postanowień zawartej umowy oraz wprowadzania nowych postanowień do umowy, niekorzystnych dla Zamawiającego, jeżeli przy ich uwzględnieniu należałoby zmienić treść oferty, na podstawie której dokonano wyboru Wykonawcy.</w:t>
      </w:r>
    </w:p>
    <w:p w:rsidR="004A09A4" w:rsidRDefault="004A09A4" w:rsidP="004A09A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4A09A4" w:rsidRDefault="004A09A4" w:rsidP="004A09A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Umowę sporządzono w dwóch jednobrzmiących egzemplarzach jeden dla Zamawiającego jeden dla Wykonawcy.</w:t>
      </w:r>
    </w:p>
    <w:p w:rsidR="004A09A4" w:rsidRDefault="004A09A4" w:rsidP="004A09A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zakresie nieuregulowanym niniejszą umową zastosowanie mają przepisy prawa polskiego </w:t>
      </w:r>
      <w:r>
        <w:rPr>
          <w:rFonts w:eastAsia="Times New Roman" w:cs="Times New Roman"/>
        </w:rPr>
        <w:br/>
        <w:t xml:space="preserve">w szczególności Kodeksu cywilnego, ustawy Prawo zamówień publicznych </w:t>
      </w:r>
    </w:p>
    <w:p w:rsidR="004A09A4" w:rsidRDefault="004A09A4" w:rsidP="004A09A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</w:t>
      </w:r>
    </w:p>
    <w:p w:rsidR="004A09A4" w:rsidRDefault="004A09A4" w:rsidP="004A09A4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    § 7</w:t>
      </w:r>
    </w:p>
    <w:p w:rsidR="004A09A4" w:rsidRDefault="004A09A4" w:rsidP="004A09A4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 xml:space="preserve">                                                                 Rozstrzyganie sporów</w:t>
      </w:r>
    </w:p>
    <w:p w:rsidR="004A09A4" w:rsidRDefault="004A09A4" w:rsidP="004A09A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Ewentualne spory powstałe na tle wykonywania przedmiotu umowy Strony rozstrzygać będą polubownie, w drodze negocjacji i porozumienia. W przypadku nie dojścia do porozumienia spory rozstrzygane będą przez sąd właściwy dla Zamawiającego. </w:t>
      </w:r>
    </w:p>
    <w:p w:rsidR="004A09A4" w:rsidRDefault="004A09A4" w:rsidP="004A09A4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:rsidR="004A09A4" w:rsidRPr="00EE109D" w:rsidRDefault="004A09A4" w:rsidP="004A09A4">
      <w:pPr>
        <w:spacing w:before="20" w:after="20"/>
        <w:ind w:left="327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</w:t>
      </w:r>
      <w:bookmarkStart w:id="0" w:name="_GoBack"/>
      <w:bookmarkEnd w:id="0"/>
      <w:r>
        <w:rPr>
          <w:rFonts w:eastAsia="Times New Roman" w:cs="Times New Roman"/>
        </w:rPr>
        <w:t xml:space="preserve">                                         </w:t>
      </w:r>
      <w:r>
        <w:t xml:space="preserve">   </w:t>
      </w:r>
      <w:r>
        <w:rPr>
          <w:b/>
          <w:bCs/>
        </w:rPr>
        <w:t xml:space="preserve">   </w:t>
      </w:r>
    </w:p>
    <w:p w:rsidR="004A09A4" w:rsidRDefault="004A09A4" w:rsidP="004A09A4">
      <w:pPr>
        <w:tabs>
          <w:tab w:val="left" w:pos="0"/>
          <w:tab w:val="left" w:pos="360"/>
        </w:tabs>
        <w:spacing w:before="20" w:after="20"/>
        <w:jc w:val="both"/>
      </w:pPr>
    </w:p>
    <w:p w:rsidR="004A09A4" w:rsidRDefault="004A09A4" w:rsidP="004A09A4">
      <w:r>
        <w:rPr>
          <w:rStyle w:val="B"/>
          <w:rFonts w:eastAsia="Times New Roman" w:cs="StarSymbol"/>
          <w:kern w:val="1"/>
        </w:rPr>
        <w:t xml:space="preserve">ZAMAWIAJĄCY:                                                </w:t>
      </w:r>
      <w:r>
        <w:rPr>
          <w:rStyle w:val="B"/>
          <w:rFonts w:eastAsia="Times New Roman" w:cs="StarSymbol"/>
          <w:kern w:val="1"/>
        </w:rPr>
        <w:tab/>
      </w:r>
      <w:r>
        <w:rPr>
          <w:rStyle w:val="B"/>
          <w:rFonts w:eastAsia="Times New Roman" w:cs="StarSymbol"/>
          <w:kern w:val="1"/>
        </w:rPr>
        <w:tab/>
      </w:r>
      <w:r>
        <w:rPr>
          <w:rStyle w:val="B"/>
          <w:rFonts w:eastAsia="Times New Roman" w:cs="StarSymbol"/>
          <w:kern w:val="1"/>
        </w:rPr>
        <w:tab/>
        <w:t xml:space="preserve">   WYKONAWCA:</w:t>
      </w:r>
    </w:p>
    <w:p w:rsidR="00EC0052" w:rsidRDefault="00EC0052"/>
    <w:sectPr w:rsidR="00EC0052" w:rsidSect="00EC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09A4"/>
    <w:rsid w:val="004A09A4"/>
    <w:rsid w:val="00EC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A09A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09A4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Zwykytekst1">
    <w:name w:val="Zwykły tekst1"/>
    <w:basedOn w:val="Normalny"/>
    <w:rsid w:val="004A09A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A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re3f3ftekstu">
    <w:name w:val="WW-Treś3fć3f tekstu"/>
    <w:basedOn w:val="Normalny"/>
    <w:rsid w:val="004A09A4"/>
    <w:pPr>
      <w:widowControl w:val="0"/>
      <w:suppressAutoHyphens/>
      <w:spacing w:after="0" w:line="360" w:lineRule="auto"/>
    </w:pPr>
    <w:rPr>
      <w:rFonts w:ascii="StarSymbol" w:eastAsia="Lucida Sans Unicode" w:hAnsi="StarSymbol" w:cs="Tahoma"/>
      <w:sz w:val="24"/>
      <w:szCs w:val="24"/>
      <w:lang w:eastAsia="pl-PL" w:bidi="pl-PL"/>
    </w:rPr>
  </w:style>
  <w:style w:type="character" w:customStyle="1" w:styleId="B">
    <w:name w:val="B"/>
    <w:rsid w:val="004A09A4"/>
    <w:rPr>
      <w:b/>
      <w:bCs/>
    </w:rPr>
  </w:style>
  <w:style w:type="character" w:styleId="Pogrubienie">
    <w:name w:val="Strong"/>
    <w:basedOn w:val="Domylnaczcionkaakapitu"/>
    <w:uiPriority w:val="22"/>
    <w:qFormat/>
    <w:rsid w:val="004A0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1031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2015-05-07T18:47:00Z</dcterms:created>
  <dcterms:modified xsi:type="dcterms:W3CDTF">2015-05-07T18:51:00Z</dcterms:modified>
</cp:coreProperties>
</file>